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A" w:rsidRPr="00BA6BA9" w:rsidRDefault="00D35398" w:rsidP="00BA6BA9">
      <w:pPr>
        <w:pStyle w:val="msotitlebullet1gif"/>
        <w:ind w:firstLine="709"/>
        <w:contextualSpacing/>
        <w:jc w:val="right"/>
        <w:rPr>
          <w:b/>
          <w:bCs/>
        </w:rPr>
      </w:pPr>
      <w:r w:rsidRPr="00BA6BA9">
        <w:rPr>
          <w:b/>
          <w:bCs/>
        </w:rPr>
        <w:t>201</w:t>
      </w:r>
      <w:r w:rsidR="005C68DE" w:rsidRPr="00BA6BA9">
        <w:rPr>
          <w:b/>
          <w:bCs/>
        </w:rPr>
        <w:t>9-2020</w:t>
      </w:r>
      <w:r w:rsidR="007572BA" w:rsidRPr="00BA6BA9">
        <w:rPr>
          <w:b/>
          <w:bCs/>
        </w:rPr>
        <w:t xml:space="preserve"> учебный год</w:t>
      </w:r>
    </w:p>
    <w:p w:rsidR="007572BA" w:rsidRPr="00BA6BA9" w:rsidRDefault="007572BA" w:rsidP="00BA6BA9">
      <w:pPr>
        <w:pStyle w:val="msotitlebullet1gif"/>
        <w:ind w:firstLine="709"/>
        <w:contextualSpacing/>
        <w:jc w:val="center"/>
        <w:rPr>
          <w:b/>
          <w:bCs/>
        </w:rPr>
      </w:pPr>
    </w:p>
    <w:p w:rsidR="007572BA" w:rsidRPr="00BA6BA9" w:rsidRDefault="007572BA" w:rsidP="00BA6BA9">
      <w:pPr>
        <w:pStyle w:val="msotitlebullet1gif"/>
        <w:ind w:firstLine="709"/>
        <w:contextualSpacing/>
        <w:jc w:val="center"/>
        <w:rPr>
          <w:b/>
          <w:bCs/>
        </w:rPr>
      </w:pPr>
      <w:r w:rsidRPr="00BA6BA9">
        <w:rPr>
          <w:b/>
          <w:bCs/>
        </w:rPr>
        <w:t>Контрольные работы по гражданскому процессу</w:t>
      </w:r>
    </w:p>
    <w:p w:rsidR="007572BA" w:rsidRPr="00BA6BA9" w:rsidRDefault="007572BA" w:rsidP="00BA6BA9">
      <w:pPr>
        <w:pStyle w:val="msotitlebullet2gif"/>
        <w:ind w:firstLine="709"/>
        <w:contextualSpacing/>
        <w:jc w:val="center"/>
        <w:rPr>
          <w:b/>
          <w:bCs/>
        </w:rPr>
      </w:pPr>
      <w:r w:rsidRPr="00BA6BA9">
        <w:rPr>
          <w:b/>
          <w:bCs/>
        </w:rPr>
        <w:t>для студентов заочных форм обучения</w:t>
      </w:r>
    </w:p>
    <w:p w:rsidR="007572BA" w:rsidRPr="00BA6BA9" w:rsidRDefault="007572BA" w:rsidP="00BA6BA9">
      <w:pPr>
        <w:pStyle w:val="msotitlebullet2gif"/>
        <w:contextualSpacing/>
        <w:rPr>
          <w:bCs/>
        </w:rPr>
      </w:pPr>
    </w:p>
    <w:p w:rsidR="007572BA" w:rsidRPr="00BA6BA9" w:rsidRDefault="007572BA" w:rsidP="00BA6BA9">
      <w:pPr>
        <w:pStyle w:val="msotitlebullet2gif"/>
        <w:ind w:firstLine="709"/>
        <w:contextualSpacing/>
        <w:jc w:val="center"/>
        <w:rPr>
          <w:b/>
          <w:bCs/>
        </w:rPr>
      </w:pPr>
      <w:r w:rsidRPr="00BA6BA9">
        <w:rPr>
          <w:b/>
          <w:bCs/>
        </w:rPr>
        <w:t>Методические рекомендации по выполнению контрольной работы</w:t>
      </w:r>
    </w:p>
    <w:p w:rsidR="007572BA" w:rsidRPr="00BA6BA9" w:rsidRDefault="007572BA" w:rsidP="00BA6BA9">
      <w:pPr>
        <w:pStyle w:val="msotitlebullet3gif"/>
        <w:ind w:firstLine="709"/>
        <w:contextualSpacing/>
        <w:jc w:val="center"/>
        <w:rPr>
          <w:b/>
          <w:bCs/>
        </w:rPr>
      </w:pPr>
      <w:r w:rsidRPr="00BA6BA9">
        <w:rPr>
          <w:b/>
          <w:bCs/>
        </w:rPr>
        <w:t>для студентов заочных форм обучения</w:t>
      </w:r>
    </w:p>
    <w:p w:rsidR="007572BA" w:rsidRPr="00BA6BA9" w:rsidRDefault="007572BA" w:rsidP="00BA6BA9">
      <w:pPr>
        <w:pStyle w:val="msonormalbullet1gif"/>
        <w:shd w:val="clear" w:color="auto" w:fill="FFFFFF"/>
        <w:ind w:firstLine="709"/>
        <w:contextualSpacing/>
        <w:jc w:val="both"/>
        <w:rPr>
          <w:color w:val="000000"/>
          <w:spacing w:val="6"/>
        </w:rPr>
      </w:pPr>
      <w:r w:rsidRPr="00BA6BA9">
        <w:rPr>
          <w:color w:val="000000"/>
          <w:spacing w:val="6"/>
        </w:rPr>
        <w:t>Контрольная работа представляется в срок, установленный учебным планом. Решение задач должно быть развернутым и теоретически обоснованным, со ссылкой на соответствующие статьи ГПК РФ, иные нормативные ак</w:t>
      </w:r>
      <w:bookmarkStart w:id="0" w:name="_GoBack"/>
      <w:bookmarkEnd w:id="0"/>
      <w:r w:rsidRPr="00BA6BA9">
        <w:rPr>
          <w:color w:val="000000"/>
          <w:spacing w:val="6"/>
        </w:rPr>
        <w:t>ты, постановления Пленума Верховного Суда РФ, судебную практику.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BA6BA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ОБРАЗЕЦ Оформления решения задач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99"/>
        <w:gridCol w:w="3980"/>
        <w:gridCol w:w="1592"/>
      </w:tblGrid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Вводные задачи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Выводы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Статьи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Основания возникновения ГПП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Материальные правоотношения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(МПО)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Договор дарения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Стороны договора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572 ГК РФ,……..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Спорное материальное правоотношение (СПО)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Стороны спорного материального правоотношения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Подведомственность (вид)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А) единичная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Б) множественная специальная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25 ГПК РФ,……..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Подсудность (вид)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А) родовая…….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Б) территориальная</w:t>
            </w:r>
            <w:proofErr w:type="gramStart"/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…….</w:t>
            </w:r>
            <w:proofErr w:type="gramEnd"/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  <w:p w:rsidR="001A200F" w:rsidRPr="00BA6BA9" w:rsidRDefault="001A200F" w:rsidP="00BA6BA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…….</w:t>
            </w:r>
          </w:p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…….</w:t>
            </w:r>
          </w:p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Госпошлина (вид) расчет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….НКРФ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Истец (вид)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Соистец 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Процессуальный правопреемник 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Ответчик (вид)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Соответчик 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Процессуальный правопреемник 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Другие лица, участвующие в деле</w:t>
            </w:r>
          </w:p>
          <w:p w:rsidR="001A200F" w:rsidRPr="00BA6BA9" w:rsidRDefault="001A200F" w:rsidP="00BA6BA9">
            <w:pPr>
              <w:numPr>
                <w:ilvl w:val="0"/>
                <w:numId w:val="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1A200F" w:rsidRPr="00BA6BA9" w:rsidRDefault="001A200F" w:rsidP="00BA6BA9">
            <w:pPr>
              <w:numPr>
                <w:ilvl w:val="0"/>
                <w:numId w:val="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1A200F" w:rsidRPr="00BA6BA9" w:rsidRDefault="001A200F" w:rsidP="00BA6BA9">
            <w:pPr>
              <w:numPr>
                <w:ilvl w:val="0"/>
                <w:numId w:val="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</w:t>
            </w: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Вид судопроизводства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Вид иска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1. Предмет иска</w:t>
            </w: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1. Основание иска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Предмет доказывания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A6BA9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A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Доказательства (относимые, допустимые)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A6BA9" w:rsidRDefault="001A200F" w:rsidP="00BA6BA9">
            <w:pPr>
              <w:spacing w:line="240" w:lineRule="auto"/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A6BA9">
        <w:rPr>
          <w:rFonts w:ascii="Times New Roman" w:hAnsi="Times New Roman" w:cs="Times New Roman"/>
          <w:color w:val="000000"/>
          <w:spacing w:val="6"/>
          <w:sz w:val="24"/>
          <w:szCs w:val="24"/>
        </w:rPr>
        <w:t>+ Ответы на вопросы, заданные в задаче с теоретическим обоснованием.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6BA9">
        <w:rPr>
          <w:rFonts w:ascii="Times New Roman" w:hAnsi="Times New Roman" w:cs="Times New Roman"/>
          <w:sz w:val="24"/>
          <w:szCs w:val="24"/>
          <w:u w:val="single"/>
        </w:rPr>
        <w:t xml:space="preserve">ВАРИАНТЫ: студенты с фамилиями, начинающимися 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A6BA9">
        <w:rPr>
          <w:rFonts w:ascii="Times New Roman" w:hAnsi="Times New Roman" w:cs="Times New Roman"/>
          <w:sz w:val="24"/>
          <w:szCs w:val="24"/>
          <w:u w:val="single"/>
        </w:rPr>
        <w:t>от «А» до «Ж» - выполняют 1 вариант контрольной работы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A6BA9">
        <w:rPr>
          <w:rFonts w:ascii="Times New Roman" w:hAnsi="Times New Roman" w:cs="Times New Roman"/>
          <w:sz w:val="24"/>
          <w:szCs w:val="24"/>
          <w:u w:val="single"/>
        </w:rPr>
        <w:t>от «</w:t>
      </w:r>
      <w:proofErr w:type="gramStart"/>
      <w:r w:rsidRPr="00BA6BA9">
        <w:rPr>
          <w:rFonts w:ascii="Times New Roman" w:hAnsi="Times New Roman" w:cs="Times New Roman"/>
          <w:sz w:val="24"/>
          <w:szCs w:val="24"/>
          <w:u w:val="single"/>
        </w:rPr>
        <w:t>З»  до</w:t>
      </w:r>
      <w:proofErr w:type="gramEnd"/>
      <w:r w:rsidRPr="00BA6BA9">
        <w:rPr>
          <w:rFonts w:ascii="Times New Roman" w:hAnsi="Times New Roman" w:cs="Times New Roman"/>
          <w:sz w:val="24"/>
          <w:szCs w:val="24"/>
          <w:u w:val="single"/>
        </w:rPr>
        <w:t xml:space="preserve"> «Н»  - выполняют 2 вариант контрольной работы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A6BA9">
        <w:rPr>
          <w:rFonts w:ascii="Times New Roman" w:hAnsi="Times New Roman" w:cs="Times New Roman"/>
          <w:sz w:val="24"/>
          <w:szCs w:val="24"/>
          <w:u w:val="single"/>
        </w:rPr>
        <w:t>от «О» до «У»- выполняют 3 вариант контрольной работы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BA9">
        <w:rPr>
          <w:rFonts w:ascii="Times New Roman" w:hAnsi="Times New Roman" w:cs="Times New Roman"/>
          <w:sz w:val="24"/>
          <w:szCs w:val="24"/>
          <w:u w:val="single"/>
        </w:rPr>
        <w:t xml:space="preserve">от «Ф» </w:t>
      </w:r>
      <w:proofErr w:type="gramStart"/>
      <w:r w:rsidRPr="00BA6BA9">
        <w:rPr>
          <w:rFonts w:ascii="Times New Roman" w:hAnsi="Times New Roman" w:cs="Times New Roman"/>
          <w:sz w:val="24"/>
          <w:szCs w:val="24"/>
          <w:u w:val="single"/>
        </w:rPr>
        <w:t>до  «</w:t>
      </w:r>
      <w:proofErr w:type="gramEnd"/>
      <w:r w:rsidRPr="00BA6BA9">
        <w:rPr>
          <w:rFonts w:ascii="Times New Roman" w:hAnsi="Times New Roman" w:cs="Times New Roman"/>
          <w:sz w:val="24"/>
          <w:szCs w:val="24"/>
          <w:u w:val="single"/>
        </w:rPr>
        <w:t>Я» - выполняют 4 вариант контрольной работы</w:t>
      </w:r>
      <w:r w:rsidRPr="00BA6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Забастовочный комитет объединения «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Североуголь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» без </w:t>
      </w:r>
      <w:proofErr w:type="gramStart"/>
      <w:r w:rsidRPr="00BA6BA9"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 w:rsidRPr="00BA6BA9">
        <w:rPr>
          <w:rFonts w:ascii="Times New Roman" w:hAnsi="Times New Roman" w:cs="Times New Roman"/>
          <w:sz w:val="24"/>
          <w:szCs w:val="24"/>
        </w:rPr>
        <w:t xml:space="preserve"> переговоров с администрацией объявил забастовку шахтеров. 8 сентября 2016 г. трудовые коллективы пяти шахт из восьми, входящих в объединение, прекратили работу. Генеральный директор объединения Вернов Т.Н. 14 сентября 2016 г. обратился в районный суд по месту нахождения дирекции объединения с жалобой на действия коллегиального органа (забастовочного комитета), просил признать их незаконными и взыскать ущерб, причиненный объединению в результате забастовки. 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Как решается проблема подведомственности и подсудности при рассмотрении коллективных трудовых споров?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 xml:space="preserve">Драматург Матвеев Н.П., постоянно проживающий в Саратове, заключил договор с Московским театром им. Ермоловой о написании для театра пьесы. В договоре стороны записали, что все споры, вытекающие из заключенного договора, подлежат рассмотрению в Московском городском суде. Матвеев Н.П. написал заказанную пьесу, но предоставил право ее первой постановки Саратовскому областному драматическому театру. Театр им. Ермоловой предъявил в Московском городском суде иск к Матвееву Н.П. об обязанности исполнить договор. Однако Московский городской суд заявления не принял, разъяснив в определении, что дело должно рассматриваться в районном суде. </w:t>
      </w:r>
    </w:p>
    <w:p w:rsidR="005C68DE" w:rsidRPr="00BA6BA9" w:rsidRDefault="005C68DE" w:rsidP="00BA6BA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Какие виды подсудности вам известны? В каком суде должно рассматриваться данное гражданское дело?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Максимов Ю.В. обратился в суд с иском о возмещении ущерба транспортному средству в размере 50 000 руб., вреда вследствие повреждения здоровья в сумме 100 000 руб., а также компенсации морального вреда в сумме 200 000 руб., причиненных в результате дорожно-транспортного происшествия. В качестве ответчика он просил привлечь Лебедева П.А., управлявшего автомашиной в момент аварии. При подготовке к судебному разбирательству выяснилось, что гражданская ответственность Лебедева П.А. застрахована в СПАО «И». Ответчик Лебедев П.А. против удовлетворения иска возражал, пояснив, что автомашина принадлежит Романову Н.Н., гражданская ответственность которого застрахована в ПАО СК «Р», а сам Лебедев П.А. в момент аварии управлял автомашиной по доверенности. Однако в процессе рассмотрения дела выяснилось, что срок доверенности на имя Лебедева П.А. истек. Автомашина была взята Лебедевым П.А. из гаража Романова Н.Н. самовольно, поскольку Лебедев П.А. не вернул Романову Н.Н. имевшиеся у него ключи от гаража.</w:t>
      </w:r>
    </w:p>
    <w:p w:rsidR="005C68DE" w:rsidRPr="00BA6BA9" w:rsidRDefault="005C68DE" w:rsidP="00BA6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 xml:space="preserve"> </w:t>
      </w:r>
      <w:r w:rsidRPr="00BA6BA9">
        <w:rPr>
          <w:rFonts w:ascii="Times New Roman" w:hAnsi="Times New Roman" w:cs="Times New Roman"/>
          <w:sz w:val="24"/>
          <w:szCs w:val="24"/>
        </w:rPr>
        <w:tab/>
        <w:t>Определите круг лиц, участвующих в деле. Изменится ли круг участвующих в деле лиц, если срок доверенности на имя Лебедева П.А. не истек, и он владел автомашиной на законном основании?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lastRenderedPageBreak/>
        <w:t>Задача 2.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Папишвили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С.О., действующий в своих интересах и в интересах несовершеннолетних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и Лианы, обратился в суд с иском к Михайловским Стасу и Иосифу о вселении и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нечинении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препятствий в пользовании трехкомнатной квартирой, ссылаясь на то, что вместе с ответчиками является сособственником данной квартиры без определения долей. Квартира получена сторонами в собственность на основании договора о передаче помещения в частную собственность граждан (договора приватизации) в 1992 г. Несовершеннолетние дети истца зарегистрированы на указанной жилой площади по месту жительства с 2005 и 2009 гг. соответственно. В 1998 г. истец из-за конфликтных отношений был вынужден покинуть спорное жилое помещение. В настоящее время ответчики препятствуют проживанию истца с детьми в спорной квартире. Ответчики предъявили к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Папишвили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С.О. встречный иск об определении порядка пользования квартирой, а к его несовершеннолетним детям — о снятии с регистрационного учета и выселении, так как дети зарегистрированы в квартире по месту жительства без согласия ответчиков. Определением суда к участию в деле привлечен орган опеки и попечительства. </w:t>
      </w:r>
    </w:p>
    <w:p w:rsidR="005C68DE" w:rsidRPr="00BA6BA9" w:rsidRDefault="005C68DE" w:rsidP="00BA6BA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Правильно ли определен круг лиц, участвующих в деле? Повлияет ли на круг лиц, участвующих в деле, нахождение квартиры в муниципальной собственности?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И.И. обратился в суд с исковым заявлением о признании права собственности на земельный участок, расположенный в пос. «Светлый» Одинцовского р-на. Судья отказал в принятии искового заявления, указав, что аналогичное требование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И.И. заявлял ранее, и оно рассматривалось судом, но до вынесения решения по делу истец отказался от иска и отказ был принят судом.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И.И. не согласился с вынесенным определением суда и обжаловал его в апелляционном порядке, указав, что ранее он отказался от искового требования о признании права собственности на земельный участок, расположенный в пос. «Светлый-2» Одинцовского р-на. </w:t>
      </w:r>
    </w:p>
    <w:p w:rsidR="005C68DE" w:rsidRPr="00BA6BA9" w:rsidRDefault="005C68DE" w:rsidP="00BA6BA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Соответствуют ли действия суда закону? Может ли быть обжаловано определение суда об отказе в принятии искового заявления? Имеются ли основания для отмены определения?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 xml:space="preserve">Звягин Т.К. предъявил иск к Бурову В.Д. о возврате денежных средств в размере 100 000 руб. Истец указал, что передал ответчику деньги в долг, с условием возврата через шесть месяцев. Однако ответчик в установленный срок долг не возвратил. Истец пояснил, что, поскольку ответчик является мужем его родной сестры, то, исходя из этических соображений, он не потребовал от него расписки в получении денег. В качестве свидетеля истец просил вызвать их общего с ответчиком знакомого Шатова В.А., который присутствовал при передаче денег в долг и может подтвердить этот факт, а также размер переданной в долг суммы денег. Ответчик, возражая против иска, указал, что признает получение от Звягина Т.К. денег в долг, но в размере 70 000 руб. Ответчик также пояснил, что 40 000 руб. уже возвратил истцу, а срок возврата оставшейся суммы долга к моменту обращения Звягина Т.К. в суд еще не истек, поскольку денежные средства передавались сроком не на шесть месяцев, как заявляет истец, а на один год. Ответчик ходатайствовал о вызове в суд в качестве свидетеля своей жены Буровой С.К., которая может указать размер денежной суммы переданной ему истцом, срок возврата долга, а также подтвердить то, что часть денег уже возвращена истцу. </w:t>
      </w:r>
    </w:p>
    <w:p w:rsidR="005C68DE" w:rsidRPr="00BA6BA9" w:rsidRDefault="005C68DE" w:rsidP="00BA6BA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Проанализируйте данную правовую ситуацию с точки зрения допустимости доказательств.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 xml:space="preserve">Шмакова В.Д. обратилась в суд с иском к Ручкину И.Л. об установлении отцовства в отношении дочери Ирины. Для разъяснения вопроса, связанного с происхождением ребенка, судья назначил экспертизу, проводимую методом генетической дактилоскопии. Ответчик на экспертизу не явился, заявив, что проведение такой экспертизы унижает его достоинство, а также нарушает конституционное право на личную неприкосновенность. Ручкин И.Л. указал, что он не может быть отцом ребенка, поскольку длительное время отсутствовал в месте постоянного места жительства истицы, находясь в служебной командировке. В подтверждение этого ответчик представил письменные доказательства — авиационные билеты, командировочное удостоверение с отметками, содержащими даты пребывания ответчика на машиностроительном заводе в г. Котовске. Ответчик также заявил ходатайство о вызове и допросе в качестве </w:t>
      </w:r>
      <w:proofErr w:type="gramStart"/>
      <w:r w:rsidRPr="00BA6BA9">
        <w:rPr>
          <w:rFonts w:ascii="Times New Roman" w:hAnsi="Times New Roman" w:cs="Times New Roman"/>
          <w:sz w:val="24"/>
          <w:szCs w:val="24"/>
        </w:rPr>
        <w:t>свидетелей</w:t>
      </w:r>
      <w:proofErr w:type="gramEnd"/>
      <w:r w:rsidRPr="00BA6BA9">
        <w:rPr>
          <w:rFonts w:ascii="Times New Roman" w:hAnsi="Times New Roman" w:cs="Times New Roman"/>
          <w:sz w:val="24"/>
          <w:szCs w:val="24"/>
        </w:rPr>
        <w:t xml:space="preserve"> находившихся с ним в командировке Галкина П.Р. и Крамаренко К.В., которые могут подтвердить, что Ручкин И.Л. постоянно пребывал в этом городе и не покидал его на протяжении всего срока командировки. В судебном заседании Шмакова В.Д. пояснила, что ссылка ответчика на постоянное нахождение в г. Котовске не соответствует действительности, так как он дважды приезжал из командировки в кратковременный отпуск и проживал у нее дома. Удовлетворяя исковые требования, судья в решении указал, что представленные ответчиком письменные доказательства — косвенные, так как из их содержания прямо не следует, что ответчик не отлучался из г. Котовска. В допросе же свидетелей нет необходимости, поскольку отказ Ручкина И.Л. от прохождения генетико-дактилоскопической экспертизы, позволяющей с высокой степенью достоверности определить происхождение ребенка от определенного лица, свидетельствует о том, что ответчик является отцом ребенку, и на основании п. 3 ст. 79 ГПК РФ этот факт может быть признан установленным. 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Какие требования к оценке доказательств предъявляются законом? Есть ли у ответчика правовые основания для обжалования решения суда?</w:t>
      </w:r>
    </w:p>
    <w:p w:rsidR="00BA6BA9" w:rsidRDefault="00BA6BA9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0F" w:rsidRPr="00BA6BA9" w:rsidRDefault="001A200F" w:rsidP="00BA6B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9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5C68DE" w:rsidRPr="00BA6BA9" w:rsidRDefault="005C68DE" w:rsidP="00BA6B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 xml:space="preserve">Комбинат питания предъявил иск к Сидоровой Л.Н. о взыскании 30 968 руб. в возмещении материального ущерба, причиненного недостачей посуды в столовой, где она, работая бригадиром уборщиц, заключила договор о полной материальной ответственности. Районный суд постановил решение, которым иск удовлетворил. Это решение было отменено по причине </w:t>
      </w:r>
      <w:proofErr w:type="spellStart"/>
      <w:r w:rsidRPr="00BA6BA9">
        <w:rPr>
          <w:rFonts w:ascii="Times New Roman" w:hAnsi="Times New Roman" w:cs="Times New Roman"/>
          <w:sz w:val="24"/>
          <w:szCs w:val="24"/>
        </w:rPr>
        <w:t>неисследованности</w:t>
      </w:r>
      <w:proofErr w:type="spellEnd"/>
      <w:r w:rsidRPr="00BA6BA9">
        <w:rPr>
          <w:rFonts w:ascii="Times New Roman" w:hAnsi="Times New Roman" w:cs="Times New Roman"/>
          <w:sz w:val="24"/>
          <w:szCs w:val="24"/>
        </w:rPr>
        <w:t xml:space="preserve"> существенных для дела обстоятельств. При новом рассмотрении дела ответчица заявила отвод судье по тем мотивам, что он при первом рассмотрении дела участвовал в качестве секретаря судебного заседания. Судья удалился в совещательную комнату и, обсудив приведенные ответчицей доводы, заявление об отводе отклонил, сославшись на то, что в районе всего один судья, а поэтому в случае удовлетворения заявления гражданское дело некому будет рассматривать. </w:t>
      </w:r>
    </w:p>
    <w:p w:rsidR="005C68DE" w:rsidRPr="00BA6BA9" w:rsidRDefault="005C68DE" w:rsidP="00BA6BA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A6BA9">
        <w:rPr>
          <w:rFonts w:ascii="Times New Roman" w:hAnsi="Times New Roman" w:cs="Times New Roman"/>
          <w:sz w:val="24"/>
          <w:szCs w:val="24"/>
        </w:rPr>
        <w:t>Правильны ли действия судьи?</w:t>
      </w:r>
    </w:p>
    <w:p w:rsidR="00216E71" w:rsidRPr="00BA6BA9" w:rsidRDefault="00216E71" w:rsidP="00BA6BA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sectPr w:rsidR="00216E71" w:rsidRPr="00BA6BA9" w:rsidSect="0048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2FE"/>
    <w:multiLevelType w:val="hybridMultilevel"/>
    <w:tmpl w:val="030C1F54"/>
    <w:lvl w:ilvl="0" w:tplc="2EA82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2BA"/>
    <w:rsid w:val="001A200F"/>
    <w:rsid w:val="00216E71"/>
    <w:rsid w:val="00486526"/>
    <w:rsid w:val="005C68DE"/>
    <w:rsid w:val="007572BA"/>
    <w:rsid w:val="007D3C17"/>
    <w:rsid w:val="009E11FD"/>
    <w:rsid w:val="00BA6BA9"/>
    <w:rsid w:val="00D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26AD"/>
  <w15:docId w15:val="{7AB75466-9FE5-4C14-9234-B2FABD7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bullet1gif">
    <w:name w:val="msotitlebullet1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2gif">
    <w:name w:val="msotitlebullet2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3gif">
    <w:name w:val="msotitlebullet3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10</cp:revision>
  <cp:lastPrinted>2019-08-26T06:42:00Z</cp:lastPrinted>
  <dcterms:created xsi:type="dcterms:W3CDTF">2016-06-22T06:00:00Z</dcterms:created>
  <dcterms:modified xsi:type="dcterms:W3CDTF">2019-08-26T06:45:00Z</dcterms:modified>
</cp:coreProperties>
</file>